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BAB8621"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CC79ED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12EB3" w:rsidRPr="009C13A1">
                              <w:rPr>
                                <w:rFonts w:ascii="ＭＳ 明朝" w:hAnsi="ＭＳ 明朝"/>
                                <w:b/>
                                <w:noProof/>
                                <w:color w:val="000000" w:themeColor="text1"/>
                                <w:szCs w:val="21"/>
                              </w:rPr>
                              <w:t>20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CC79ED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12EB3" w:rsidRPr="009C13A1">
                        <w:rPr>
                          <w:rFonts w:ascii="ＭＳ 明朝" w:hAnsi="ＭＳ 明朝"/>
                          <w:b/>
                          <w:noProof/>
                          <w:color w:val="000000" w:themeColor="text1"/>
                          <w:szCs w:val="21"/>
                        </w:rPr>
                        <w:t>20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12EB3" w:rsidRPr="009C13A1">
        <w:rPr>
          <w:rFonts w:ascii="ＭＳ 明朝" w:hAnsi="ＭＳ 明朝"/>
          <w:b/>
          <w:noProof/>
          <w:sz w:val="28"/>
          <w:szCs w:val="28"/>
        </w:rPr>
        <w:t>13</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756596C"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12EB3" w:rsidRPr="009C13A1">
        <w:rPr>
          <w:rFonts w:ascii="ＭＳ 明朝" w:hAnsi="ＭＳ 明朝"/>
          <w:b/>
          <w:noProof/>
          <w:sz w:val="28"/>
          <w:szCs w:val="28"/>
        </w:rPr>
        <w:t>長野県全域（南信地域中心）</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013F6BFC"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12EB3" w:rsidRPr="009C13A1">
        <w:rPr>
          <w:rFonts w:ascii="ＭＳ 明朝" w:hAnsi="ＭＳ 明朝"/>
          <w:noProof/>
          <w:szCs w:val="21"/>
        </w:rPr>
        <w:t>288</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0EAFE81"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12EB3" w:rsidRPr="009C13A1">
        <w:rPr>
          <w:rFonts w:ascii="ＭＳ 明朝" w:hAnsi="ＭＳ 明朝"/>
          <w:noProof/>
          <w:sz w:val="28"/>
          <w:szCs w:val="28"/>
        </w:rPr>
        <w:t>13</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1E490443"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12EB3" w:rsidRPr="009C13A1">
        <w:rPr>
          <w:rFonts w:ascii="ＭＳ 明朝" w:hAnsi="ＭＳ 明朝"/>
          <w:noProof/>
          <w:spacing w:val="20"/>
          <w:kern w:val="20"/>
          <w:sz w:val="24"/>
        </w:rPr>
        <w:t>長野県全域（南信地域中心）</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79EAC63"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12EB3" w:rsidRPr="009C13A1">
        <w:rPr>
          <w:rFonts w:ascii="ＭＳ 明朝" w:hAnsi="ＭＳ 明朝"/>
          <w:noProof/>
        </w:rPr>
        <w:t>13</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12EB3" w:rsidRPr="009C13A1">
        <w:rPr>
          <w:rFonts w:ascii="ＭＳ 明朝" w:hAnsi="ＭＳ 明朝"/>
          <w:bCs/>
          <w:noProof/>
          <w:szCs w:val="21"/>
        </w:rPr>
        <w:t>長野県全域（南信地域中心）</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2425BE5"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12EB3" w:rsidRPr="009C13A1">
              <w:rPr>
                <w:rFonts w:ascii="ＭＳ 明朝" w:hAnsi="ＭＳ 明朝"/>
                <w:noProof/>
                <w:sz w:val="18"/>
                <w:szCs w:val="18"/>
              </w:rPr>
              <w:t>288</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65BC740"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12EB3" w:rsidRPr="009C13A1">
              <w:rPr>
                <w:rFonts w:ascii="ＭＳ 明朝" w:hAnsi="ＭＳ 明朝"/>
                <w:noProof/>
                <w:sz w:val="18"/>
                <w:szCs w:val="18"/>
              </w:rPr>
              <w:t>288</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244D2D35"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7B34D956"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長野県全域（南信地域中心）</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8208735"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長野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3FDC39A"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12EB3" w:rsidRPr="009C13A1">
        <w:rPr>
          <w:rFonts w:ascii="ＭＳ 明朝" w:hAnsi="ＭＳ 明朝"/>
          <w:noProof/>
          <w:spacing w:val="20"/>
          <w:kern w:val="20"/>
          <w:sz w:val="24"/>
          <w:lang w:eastAsia="zh-TW"/>
        </w:rPr>
        <w:t>長野県全域（南信地域中心）</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835150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長野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57351F06"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12EB3" w:rsidRPr="009C13A1">
        <w:rPr>
          <w:rFonts w:ascii="ＭＳ 明朝" w:hAnsi="ＭＳ 明朝"/>
          <w:noProof/>
          <w:spacing w:val="20"/>
          <w:kern w:val="20"/>
          <w:szCs w:val="21"/>
          <w:lang w:eastAsia="zh-TW"/>
        </w:rPr>
        <w:t>長野</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0184AFF"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73A7ED24"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長野県全域（南信地域中心）</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08C483C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12EB3" w:rsidRPr="009C13A1">
        <w:rPr>
          <w:rFonts w:ascii="ＭＳ 明朝" w:hAnsi="ＭＳ 明朝"/>
          <w:noProof/>
          <w:spacing w:val="20"/>
          <w:kern w:val="20"/>
          <w:szCs w:val="21"/>
        </w:rPr>
        <w:t>長野</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12EB3">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12EB3">
        <w:rPr>
          <w:rFonts w:ascii="ＭＳ 明朝" w:hAnsi="ＭＳ 明朝" w:hint="eastAsia"/>
          <w:b/>
          <w:bCs/>
          <w:color w:val="0000FF"/>
          <w:spacing w:val="34"/>
          <w:kern w:val="0"/>
          <w:sz w:val="24"/>
          <w:fitText w:val="2400" w:id="-622096639"/>
        </w:rPr>
        <w:t>日本政策金融公</w:t>
      </w:r>
      <w:r w:rsidRPr="00012EB3">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6B27" w14:textId="77777777" w:rsidR="0082492A" w:rsidRDefault="0082492A">
      <w:r>
        <w:separator/>
      </w:r>
    </w:p>
  </w:endnote>
  <w:endnote w:type="continuationSeparator" w:id="0">
    <w:p w14:paraId="5475E449" w14:textId="77777777" w:rsidR="0082492A" w:rsidRDefault="0082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12EB3" w:rsidRDefault="002D6012" w:rsidP="00012E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727F" w14:textId="77777777" w:rsidR="0082492A" w:rsidRDefault="0082492A">
      <w:r>
        <w:separator/>
      </w:r>
    </w:p>
  </w:footnote>
  <w:footnote w:type="continuationSeparator" w:id="0">
    <w:p w14:paraId="74A2ACAE" w14:textId="77777777" w:rsidR="0082492A" w:rsidRDefault="0082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2EB3"/>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044D"/>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67946"/>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BC3"/>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3E3E"/>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21B2"/>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92A"/>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57CA7"/>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0A4"/>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5165"/>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86475"/>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26938</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2025-12-08T07:30:00Z</dcterms:created>
  <dcterms:modified xsi:type="dcterms:W3CDTF">2025-12-08T09:59:00Z</dcterms:modified>
</cp:coreProperties>
</file>